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3D" w:rsidRPr="006230C6" w:rsidRDefault="00E533AA" w:rsidP="003A73DF">
      <w:pPr>
        <w:spacing w:line="360" w:lineRule="auto"/>
        <w:rPr>
          <w:rFonts w:ascii="Times New Roman" w:hAnsi="Times New Roman" w:cs="Times New Roman"/>
        </w:rPr>
      </w:pPr>
      <w:r w:rsidRPr="006230C6">
        <w:rPr>
          <w:rFonts w:ascii="Times New Roman" w:hAnsi="Times New Roman" w:cs="Times New Roman"/>
        </w:rPr>
        <w:tab/>
      </w:r>
    </w:p>
    <w:p w:rsidR="006230C6" w:rsidRPr="003A73DF" w:rsidRDefault="00DA123D" w:rsidP="003A73DF">
      <w:pPr>
        <w:spacing w:line="360" w:lineRule="auto"/>
        <w:rPr>
          <w:rFonts w:ascii="Times New Roman" w:hAnsi="Times New Roman" w:cs="Times New Roman"/>
          <w:b/>
        </w:rPr>
      </w:pPr>
      <w:r w:rsidRPr="003A73DF">
        <w:rPr>
          <w:rFonts w:ascii="Times New Roman" w:hAnsi="Times New Roman" w:cs="Times New Roman"/>
          <w:b/>
        </w:rPr>
        <w:tab/>
      </w:r>
      <w:r w:rsidRPr="003A73DF">
        <w:rPr>
          <w:rFonts w:ascii="Times New Roman" w:hAnsi="Times New Roman" w:cs="Times New Roman"/>
          <w:b/>
        </w:rPr>
        <w:tab/>
      </w:r>
      <w:r w:rsidR="00E533AA" w:rsidRPr="003A73DF">
        <w:rPr>
          <w:rFonts w:ascii="Times New Roman" w:hAnsi="Times New Roman" w:cs="Times New Roman"/>
          <w:b/>
        </w:rPr>
        <w:t>Dziedziczenie beztestamentowe według Nowel Justyniana</w:t>
      </w:r>
    </w:p>
    <w:p w:rsidR="006230C6" w:rsidRPr="006230C6" w:rsidRDefault="006230C6" w:rsidP="003A73DF">
      <w:pPr>
        <w:spacing w:line="360" w:lineRule="auto"/>
        <w:rPr>
          <w:rFonts w:ascii="Times New Roman" w:hAnsi="Times New Roman" w:cs="Times New Roman"/>
        </w:rPr>
      </w:pPr>
    </w:p>
    <w:p w:rsidR="006230C6" w:rsidRDefault="006230C6" w:rsidP="003A73DF">
      <w:pPr>
        <w:spacing w:line="360" w:lineRule="auto"/>
        <w:jc w:val="both"/>
        <w:rPr>
          <w:rFonts w:ascii="Times New Roman" w:hAnsi="Times New Roman" w:cs="Times New Roman"/>
        </w:rPr>
      </w:pPr>
      <w:r w:rsidRPr="006230C6">
        <w:rPr>
          <w:rFonts w:ascii="Times New Roman" w:hAnsi="Times New Roman" w:cs="Times New Roman"/>
        </w:rPr>
        <w:t>Justynian uregulował</w:t>
      </w:r>
      <w:r>
        <w:rPr>
          <w:rFonts w:ascii="Times New Roman" w:hAnsi="Times New Roman" w:cs="Times New Roman"/>
        </w:rPr>
        <w:t xml:space="preserve"> (</w:t>
      </w:r>
      <w:r w:rsidR="003A73D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reformował)</w:t>
      </w:r>
      <w:r w:rsidRPr="006230C6">
        <w:rPr>
          <w:rFonts w:ascii="Times New Roman" w:hAnsi="Times New Roman" w:cs="Times New Roman"/>
        </w:rPr>
        <w:t xml:space="preserve"> </w:t>
      </w:r>
      <w:r w:rsidR="00E533AA" w:rsidRPr="006230C6">
        <w:rPr>
          <w:rFonts w:ascii="Times New Roman" w:hAnsi="Times New Roman" w:cs="Times New Roman"/>
          <w:b/>
        </w:rPr>
        <w:t>dziedziczenie beztestamentowe</w:t>
      </w:r>
      <w:r w:rsidR="00E533AA" w:rsidRPr="006230C6">
        <w:rPr>
          <w:rFonts w:ascii="Times New Roman" w:hAnsi="Times New Roman" w:cs="Times New Roman"/>
        </w:rPr>
        <w:t xml:space="preserve">, </w:t>
      </w:r>
      <w:r w:rsidR="003A73DF">
        <w:rPr>
          <w:rFonts w:ascii="Times New Roman" w:hAnsi="Times New Roman" w:cs="Times New Roman"/>
        </w:rPr>
        <w:t xml:space="preserve">w konstytucjach wydanych po ogłoszeniu Digestów, Kodeksu i Instytucji </w:t>
      </w:r>
      <w:r w:rsidRPr="006230C6">
        <w:rPr>
          <w:rFonts w:ascii="Times New Roman" w:hAnsi="Times New Roman" w:cs="Times New Roman"/>
        </w:rPr>
        <w:t xml:space="preserve">- tj. </w:t>
      </w:r>
      <w:r>
        <w:rPr>
          <w:rFonts w:ascii="Times New Roman" w:hAnsi="Times New Roman" w:cs="Times New Roman"/>
        </w:rPr>
        <w:t>w Noweli 118 z 543 AD</w:t>
      </w:r>
      <w:r w:rsidR="00E533AA" w:rsidRPr="006230C6">
        <w:rPr>
          <w:rFonts w:ascii="Times New Roman" w:hAnsi="Times New Roman" w:cs="Times New Roman"/>
        </w:rPr>
        <w:t xml:space="preserve"> i uzupełnił ją Nowelą 127 z 548 r.</w:t>
      </w:r>
      <w:r>
        <w:rPr>
          <w:rFonts w:ascii="Times New Roman" w:hAnsi="Times New Roman" w:cs="Times New Roman"/>
        </w:rPr>
        <w:t xml:space="preserve"> AD.</w:t>
      </w:r>
    </w:p>
    <w:p w:rsidR="00E533AA" w:rsidRPr="006230C6" w:rsidRDefault="006230C6" w:rsidP="003A73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533AA" w:rsidRPr="006230C6">
        <w:rPr>
          <w:rFonts w:ascii="Times New Roman" w:hAnsi="Times New Roman" w:cs="Times New Roman"/>
        </w:rPr>
        <w:t xml:space="preserve">Nowa regulacja </w:t>
      </w:r>
      <w:r w:rsidRPr="006230C6">
        <w:rPr>
          <w:rFonts w:ascii="Times New Roman" w:hAnsi="Times New Roman" w:cs="Times New Roman"/>
        </w:rPr>
        <w:t>prowadziła do:</w:t>
      </w:r>
    </w:p>
    <w:p w:rsidR="006230C6" w:rsidRPr="006230C6" w:rsidRDefault="006230C6" w:rsidP="003A73DF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993" w:hanging="644"/>
        <w:rPr>
          <w:rFonts w:ascii="Times New Roman" w:hAnsi="Times New Roman" w:cs="Times New Roman"/>
        </w:rPr>
      </w:pPr>
      <w:r w:rsidRPr="003A73DF">
        <w:rPr>
          <w:rFonts w:ascii="Times New Roman" w:hAnsi="Times New Roman" w:cs="Times New Roman"/>
          <w:i/>
        </w:rPr>
        <w:t>zniesienie dziedzi</w:t>
      </w:r>
      <w:r w:rsidR="003A73DF" w:rsidRPr="003A73DF">
        <w:rPr>
          <w:rFonts w:ascii="Times New Roman" w:hAnsi="Times New Roman" w:cs="Times New Roman"/>
          <w:i/>
        </w:rPr>
        <w:t>czenia według więzi agnacyjnych</w:t>
      </w:r>
      <w:r w:rsidR="003A73DF">
        <w:rPr>
          <w:rFonts w:ascii="Times New Roman" w:hAnsi="Times New Roman" w:cs="Times New Roman"/>
        </w:rPr>
        <w:t xml:space="preserve"> </w:t>
      </w:r>
      <w:r w:rsidRPr="006230C6">
        <w:rPr>
          <w:rFonts w:ascii="Times New Roman" w:hAnsi="Times New Roman" w:cs="Times New Roman"/>
        </w:rPr>
        <w:t xml:space="preserve">- na rzecz </w:t>
      </w:r>
      <w:r w:rsidRPr="006230C6">
        <w:rPr>
          <w:rFonts w:ascii="Times New Roman" w:hAnsi="Times New Roman" w:cs="Times New Roman"/>
          <w:b/>
        </w:rPr>
        <w:t>kognacji (więzy krwi)</w:t>
      </w:r>
      <w:r w:rsidRPr="006230C6">
        <w:rPr>
          <w:rFonts w:ascii="Times New Roman" w:hAnsi="Times New Roman" w:cs="Times New Roman"/>
        </w:rPr>
        <w:t>,</w:t>
      </w:r>
    </w:p>
    <w:p w:rsidR="006230C6" w:rsidRPr="006230C6" w:rsidRDefault="006230C6" w:rsidP="003A73DF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993" w:hanging="644"/>
        <w:rPr>
          <w:rFonts w:ascii="Times New Roman" w:hAnsi="Times New Roman" w:cs="Times New Roman"/>
        </w:rPr>
      </w:pPr>
      <w:r w:rsidRPr="006230C6">
        <w:rPr>
          <w:rFonts w:ascii="Times New Roman" w:hAnsi="Times New Roman" w:cs="Times New Roman"/>
          <w:b/>
        </w:rPr>
        <w:t>zrównanie pozycji kobiet i mężczyzn</w:t>
      </w:r>
      <w:r w:rsidRPr="006230C6">
        <w:rPr>
          <w:rFonts w:ascii="Times New Roman" w:hAnsi="Times New Roman" w:cs="Times New Roman"/>
        </w:rPr>
        <w:t>,</w:t>
      </w:r>
    </w:p>
    <w:p w:rsidR="006230C6" w:rsidRDefault="006230C6" w:rsidP="003A73DF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425"/>
        <w:rPr>
          <w:rFonts w:ascii="Times New Roman" w:hAnsi="Times New Roman" w:cs="Times New Roman"/>
        </w:rPr>
      </w:pPr>
      <w:r w:rsidRPr="006230C6">
        <w:rPr>
          <w:rFonts w:ascii="Times New Roman" w:hAnsi="Times New Roman" w:cs="Times New Roman"/>
          <w:b/>
        </w:rPr>
        <w:t>kaskadowego ujęcia klas</w:t>
      </w:r>
      <w:r w:rsidRPr="006230C6">
        <w:rPr>
          <w:rFonts w:ascii="Times New Roman" w:hAnsi="Times New Roman" w:cs="Times New Roman"/>
        </w:rPr>
        <w:t xml:space="preserve"> (jeśli powołani z wyższego stopnia nie zostali dziedzicami, powoływani do spadku byli dziedzice z dalszej klasy)</w:t>
      </w:r>
    </w:p>
    <w:p w:rsidR="006230C6" w:rsidRPr="006230C6" w:rsidRDefault="006230C6" w:rsidP="003A73DF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Reforma miała </w:t>
      </w:r>
      <w:r w:rsidR="003A73DF">
        <w:rPr>
          <w:rFonts w:ascii="Times New Roman" w:hAnsi="Times New Roman" w:cs="Times New Roman"/>
        </w:rPr>
        <w:t xml:space="preserve">na celu w szczególności </w:t>
      </w:r>
      <w:r w:rsidRPr="006230C6">
        <w:rPr>
          <w:rFonts w:ascii="Times New Roman" w:hAnsi="Times New Roman" w:cs="Times New Roman"/>
          <w:u w:val="single"/>
        </w:rPr>
        <w:t>unikniecie "spadku leżącego"</w:t>
      </w:r>
      <w:r w:rsidRPr="006230C6">
        <w:rPr>
          <w:rFonts w:ascii="Times New Roman" w:hAnsi="Times New Roman" w:cs="Times New Roman"/>
        </w:rPr>
        <w:t xml:space="preserve"> (sytuacje gdy spadkodawca nie miał żadnych kr</w:t>
      </w:r>
      <w:r w:rsidR="003A73DF">
        <w:rPr>
          <w:rFonts w:ascii="Times New Roman" w:hAnsi="Times New Roman" w:cs="Times New Roman"/>
        </w:rPr>
        <w:t>ewnych uznać należy za wyjątkowe</w:t>
      </w:r>
      <w:r w:rsidRPr="006230C6">
        <w:rPr>
          <w:rFonts w:ascii="Times New Roman" w:hAnsi="Times New Roman" w:cs="Times New Roman"/>
        </w:rPr>
        <w:t>)</w:t>
      </w:r>
    </w:p>
    <w:p w:rsidR="00E533AA" w:rsidRPr="006230C6" w:rsidRDefault="00E533AA" w:rsidP="003A73DF">
      <w:pPr>
        <w:spacing w:line="360" w:lineRule="auto"/>
        <w:rPr>
          <w:rFonts w:ascii="Times New Roman" w:hAnsi="Times New Roman" w:cs="Times New Roman"/>
        </w:rPr>
      </w:pPr>
    </w:p>
    <w:p w:rsidR="0049762A" w:rsidRDefault="00E533AA" w:rsidP="003A73DF">
      <w:pPr>
        <w:spacing w:line="360" w:lineRule="auto"/>
        <w:rPr>
          <w:rFonts w:ascii="Times New Roman" w:hAnsi="Times New Roman" w:cs="Times New Roman"/>
        </w:rPr>
      </w:pPr>
      <w:r w:rsidRPr="006230C6">
        <w:rPr>
          <w:rFonts w:ascii="Times New Roman" w:hAnsi="Times New Roman" w:cs="Times New Roman"/>
        </w:rPr>
        <w:t>Justynian podzielił spadkobierców na cztery klasy</w:t>
      </w:r>
      <w:r w:rsidR="006230C6">
        <w:rPr>
          <w:rFonts w:ascii="Times New Roman" w:hAnsi="Times New Roman" w:cs="Times New Roman"/>
        </w:rPr>
        <w:t xml:space="preserve">. </w:t>
      </w:r>
    </w:p>
    <w:p w:rsidR="00E533AA" w:rsidRPr="006230C6" w:rsidRDefault="0049762A" w:rsidP="003A73D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6230C6" w:rsidRPr="0049762A">
        <w:rPr>
          <w:rFonts w:ascii="Times New Roman" w:hAnsi="Times New Roman" w:cs="Times New Roman"/>
          <w:i/>
        </w:rPr>
        <w:t>J</w:t>
      </w:r>
      <w:r w:rsidR="00D97872" w:rsidRPr="0049762A">
        <w:rPr>
          <w:rFonts w:ascii="Times New Roman" w:hAnsi="Times New Roman" w:cs="Times New Roman"/>
          <w:i/>
        </w:rPr>
        <w:t xml:space="preserve">eśli nie znaleziono dziedziców w jednej klasie (nie było ich lub nie przyjęli spadku) </w:t>
      </w:r>
      <w:r>
        <w:rPr>
          <w:rFonts w:ascii="Times New Roman" w:hAnsi="Times New Roman" w:cs="Times New Roman"/>
          <w:i/>
        </w:rPr>
        <w:tab/>
      </w:r>
      <w:r w:rsidR="00D97872" w:rsidRPr="0049762A">
        <w:rPr>
          <w:rFonts w:ascii="Times New Roman" w:hAnsi="Times New Roman" w:cs="Times New Roman"/>
          <w:i/>
        </w:rPr>
        <w:t xml:space="preserve">spadek ten przechodził na dziedziców w kolejnej klasie, </w:t>
      </w:r>
      <w:r w:rsidR="00EE3C5B" w:rsidRPr="0049762A">
        <w:rPr>
          <w:rFonts w:ascii="Times New Roman" w:hAnsi="Times New Roman" w:cs="Times New Roman"/>
          <w:i/>
        </w:rPr>
        <w:t>itd</w:t>
      </w:r>
      <w:bookmarkStart w:id="0" w:name="_GoBack"/>
      <w:bookmarkEnd w:id="0"/>
      <w:r w:rsidR="00D97872" w:rsidRPr="0049762A">
        <w:rPr>
          <w:rFonts w:ascii="Times New Roman" w:hAnsi="Times New Roman" w:cs="Times New Roman"/>
          <w:i/>
        </w:rPr>
        <w:t>.</w:t>
      </w:r>
    </w:p>
    <w:p w:rsidR="00E533AA" w:rsidRPr="006230C6" w:rsidRDefault="00E533AA" w:rsidP="003A73DF">
      <w:pPr>
        <w:spacing w:line="360" w:lineRule="auto"/>
        <w:rPr>
          <w:rFonts w:ascii="Times New Roman" w:hAnsi="Times New Roman" w:cs="Times New Roman"/>
        </w:rPr>
      </w:pPr>
    </w:p>
    <w:p w:rsidR="00D97872" w:rsidRPr="006230C6" w:rsidRDefault="006230C6" w:rsidP="003A73D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Klasy dziedziczenia: </w:t>
      </w:r>
    </w:p>
    <w:p w:rsidR="00E533AA" w:rsidRPr="006230C6" w:rsidRDefault="00E533AA" w:rsidP="003A73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30C6">
        <w:rPr>
          <w:rFonts w:ascii="Times New Roman" w:hAnsi="Times New Roman" w:cs="Times New Roman"/>
          <w:b/>
        </w:rPr>
        <w:t xml:space="preserve">zstępni </w:t>
      </w:r>
      <w:r w:rsidRPr="006230C6">
        <w:rPr>
          <w:rFonts w:ascii="Times New Roman" w:hAnsi="Times New Roman" w:cs="Times New Roman"/>
        </w:rPr>
        <w:t>(descendenci)</w:t>
      </w:r>
      <w:r w:rsidR="006230C6">
        <w:rPr>
          <w:rFonts w:ascii="Times New Roman" w:hAnsi="Times New Roman" w:cs="Times New Roman"/>
        </w:rPr>
        <w:t xml:space="preserve"> - </w:t>
      </w:r>
      <w:r w:rsidR="009A31CC" w:rsidRPr="006230C6">
        <w:rPr>
          <w:rFonts w:ascii="Times New Roman" w:hAnsi="Times New Roman" w:cs="Times New Roman"/>
        </w:rPr>
        <w:t xml:space="preserve">żyjący wykluczali swoich zstępnych), </w:t>
      </w:r>
    </w:p>
    <w:p w:rsidR="00D97872" w:rsidRPr="006230C6" w:rsidRDefault="00D97872" w:rsidP="003A73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30C6">
        <w:rPr>
          <w:rFonts w:ascii="Times New Roman" w:hAnsi="Times New Roman" w:cs="Times New Roman"/>
          <w:b/>
        </w:rPr>
        <w:t>wstępni</w:t>
      </w:r>
      <w:r w:rsidRPr="006230C6">
        <w:rPr>
          <w:rFonts w:ascii="Times New Roman" w:hAnsi="Times New Roman" w:cs="Times New Roman"/>
        </w:rPr>
        <w:t xml:space="preserve"> (ascendenci) oraz </w:t>
      </w:r>
      <w:r w:rsidRPr="0092340B">
        <w:rPr>
          <w:rFonts w:ascii="Times New Roman" w:hAnsi="Times New Roman" w:cs="Times New Roman"/>
          <w:b/>
        </w:rPr>
        <w:t>rodzeństwo ”rodzone”</w:t>
      </w:r>
      <w:r w:rsidRPr="006230C6">
        <w:rPr>
          <w:rFonts w:ascii="Times New Roman" w:hAnsi="Times New Roman" w:cs="Times New Roman"/>
        </w:rPr>
        <w:t xml:space="preserve"> (</w:t>
      </w:r>
      <w:r w:rsidR="006230C6">
        <w:rPr>
          <w:rFonts w:ascii="Times New Roman" w:hAnsi="Times New Roman" w:cs="Times New Roman"/>
        </w:rPr>
        <w:t xml:space="preserve">tj. </w:t>
      </w:r>
      <w:r w:rsidRPr="006230C6">
        <w:rPr>
          <w:rFonts w:ascii="Times New Roman" w:hAnsi="Times New Roman" w:cs="Times New Roman"/>
        </w:rPr>
        <w:t>takie, które miało z spadkodawca wspólnego ojca i matkę) i ich zstępni</w:t>
      </w:r>
    </w:p>
    <w:p w:rsidR="00D97872" w:rsidRPr="006230C6" w:rsidRDefault="00D97872" w:rsidP="003A73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30C6">
        <w:rPr>
          <w:rFonts w:ascii="Times New Roman" w:hAnsi="Times New Roman" w:cs="Times New Roman"/>
          <w:b/>
        </w:rPr>
        <w:t>rodzeństwo przyrodnie</w:t>
      </w:r>
      <w:r w:rsidR="00A12349" w:rsidRPr="006230C6">
        <w:rPr>
          <w:rFonts w:ascii="Times New Roman" w:hAnsi="Times New Roman" w:cs="Times New Roman"/>
        </w:rPr>
        <w:t xml:space="preserve"> (jedno z rodziców </w:t>
      </w:r>
      <w:r w:rsidR="004B798D" w:rsidRPr="006230C6">
        <w:rPr>
          <w:rFonts w:ascii="Times New Roman" w:hAnsi="Times New Roman" w:cs="Times New Roman"/>
        </w:rPr>
        <w:t>wspólne ze spadkodawcą)</w:t>
      </w:r>
      <w:r w:rsidRPr="006230C6">
        <w:rPr>
          <w:rFonts w:ascii="Times New Roman" w:hAnsi="Times New Roman" w:cs="Times New Roman"/>
        </w:rPr>
        <w:t xml:space="preserve"> </w:t>
      </w:r>
      <w:r w:rsidRPr="006230C6">
        <w:rPr>
          <w:rFonts w:ascii="Times New Roman" w:hAnsi="Times New Roman" w:cs="Times New Roman"/>
          <w:b/>
        </w:rPr>
        <w:t>i ich zstępni</w:t>
      </w:r>
    </w:p>
    <w:p w:rsidR="00D97872" w:rsidRPr="006230C6" w:rsidRDefault="00D97872" w:rsidP="003A73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30C6">
        <w:rPr>
          <w:rFonts w:ascii="Times New Roman" w:hAnsi="Times New Roman" w:cs="Times New Roman"/>
          <w:b/>
        </w:rPr>
        <w:t xml:space="preserve">dalsi krewni </w:t>
      </w:r>
      <w:proofErr w:type="spellStart"/>
      <w:r w:rsidRPr="006230C6">
        <w:rPr>
          <w:rFonts w:ascii="Times New Roman" w:hAnsi="Times New Roman" w:cs="Times New Roman"/>
          <w:b/>
        </w:rPr>
        <w:t>kognacyjni</w:t>
      </w:r>
      <w:proofErr w:type="spellEnd"/>
    </w:p>
    <w:p w:rsidR="00D97872" w:rsidRPr="006230C6" w:rsidRDefault="00D97872" w:rsidP="003A73DF">
      <w:pPr>
        <w:spacing w:line="360" w:lineRule="auto"/>
        <w:rPr>
          <w:rFonts w:ascii="Times New Roman" w:hAnsi="Times New Roman" w:cs="Times New Roman"/>
        </w:rPr>
      </w:pPr>
    </w:p>
    <w:p w:rsidR="006230C6" w:rsidRPr="006230C6" w:rsidRDefault="006230C6" w:rsidP="003A73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Spadki nie</w:t>
      </w:r>
      <w:r w:rsidRPr="006230C6">
        <w:rPr>
          <w:rFonts w:ascii="Times New Roman" w:hAnsi="Times New Roman" w:cs="Times New Roman"/>
        </w:rPr>
        <w:t>objęte przez nikogo z uprawnionych przypadały państwu, w przyp</w:t>
      </w:r>
      <w:r>
        <w:rPr>
          <w:rFonts w:ascii="Times New Roman" w:hAnsi="Times New Roman" w:cs="Times New Roman"/>
        </w:rPr>
        <w:t>adku gdy zmarły był duchownym-</w:t>
      </w:r>
      <w:r w:rsidRPr="006230C6">
        <w:rPr>
          <w:rFonts w:ascii="Times New Roman" w:hAnsi="Times New Roman" w:cs="Times New Roman"/>
        </w:rPr>
        <w:t>kośc</w:t>
      </w:r>
      <w:r>
        <w:rPr>
          <w:rFonts w:ascii="Times New Roman" w:hAnsi="Times New Roman" w:cs="Times New Roman"/>
        </w:rPr>
        <w:t>iołowi, a po zmarłym żołnierzu-</w:t>
      </w:r>
      <w:r w:rsidRPr="006230C6">
        <w:rPr>
          <w:rFonts w:ascii="Times New Roman" w:hAnsi="Times New Roman" w:cs="Times New Roman"/>
        </w:rPr>
        <w:t>legionowi</w:t>
      </w:r>
    </w:p>
    <w:p w:rsidR="00F87B87" w:rsidRDefault="00F87B87" w:rsidP="003A73DF">
      <w:pPr>
        <w:spacing w:line="360" w:lineRule="auto"/>
        <w:rPr>
          <w:rFonts w:ascii="Times New Roman" w:hAnsi="Times New Roman" w:cs="Times New Roman"/>
        </w:rPr>
      </w:pPr>
    </w:p>
    <w:p w:rsidR="006230C6" w:rsidRPr="006230C6" w:rsidRDefault="006230C6" w:rsidP="003A73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Pozycja małżonka: </w:t>
      </w:r>
      <w:r w:rsidRPr="006230C6">
        <w:rPr>
          <w:rFonts w:ascii="Times New Roman" w:hAnsi="Times New Roman" w:cs="Times New Roman"/>
        </w:rPr>
        <w:t>spośród</w:t>
      </w:r>
      <w:r>
        <w:rPr>
          <w:rFonts w:ascii="Times New Roman" w:hAnsi="Times New Roman" w:cs="Times New Roman"/>
          <w:b/>
        </w:rPr>
        <w:t xml:space="preserve"> </w:t>
      </w:r>
      <w:r w:rsidRPr="006230C6">
        <w:rPr>
          <w:rFonts w:ascii="Times New Roman" w:hAnsi="Times New Roman" w:cs="Times New Roman"/>
        </w:rPr>
        <w:t>małżonków</w:t>
      </w:r>
      <w:r>
        <w:rPr>
          <w:rFonts w:ascii="Times New Roman" w:hAnsi="Times New Roman" w:cs="Times New Roman"/>
          <w:b/>
        </w:rPr>
        <w:t xml:space="preserve"> </w:t>
      </w:r>
      <w:r w:rsidRPr="006230C6">
        <w:rPr>
          <w:rFonts w:ascii="Times New Roman" w:hAnsi="Times New Roman" w:cs="Times New Roman"/>
        </w:rPr>
        <w:t>spadek otrzymywa</w:t>
      </w:r>
      <w:r>
        <w:rPr>
          <w:rFonts w:ascii="Times New Roman" w:hAnsi="Times New Roman" w:cs="Times New Roman"/>
        </w:rPr>
        <w:t>ć mogła tylko kobieta - i to pod warunkiem, że została uznana za ubogą. Wówczas kobieta liczyć mogła na tzw.  kwartę</w:t>
      </w:r>
      <w:r w:rsidRPr="006230C6">
        <w:rPr>
          <w:rFonts w:ascii="Times New Roman" w:hAnsi="Times New Roman" w:cs="Times New Roman"/>
        </w:rPr>
        <w:t xml:space="preserve"> ubogiej wdowy. </w:t>
      </w:r>
      <w:r>
        <w:rPr>
          <w:rFonts w:ascii="Times New Roman" w:hAnsi="Times New Roman" w:cs="Times New Roman"/>
        </w:rPr>
        <w:t>Kobieta d</w:t>
      </w:r>
      <w:r w:rsidRPr="006230C6">
        <w:rPr>
          <w:rFonts w:ascii="Times New Roman" w:hAnsi="Times New Roman" w:cs="Times New Roman"/>
        </w:rPr>
        <w:t xml:space="preserve">ziedziczyła </w:t>
      </w:r>
      <w:r>
        <w:rPr>
          <w:rFonts w:ascii="Times New Roman" w:hAnsi="Times New Roman" w:cs="Times New Roman"/>
        </w:rPr>
        <w:t>wtedy</w:t>
      </w:r>
      <w:r w:rsidRPr="006230C6">
        <w:rPr>
          <w:rFonts w:ascii="Times New Roman" w:hAnsi="Times New Roman" w:cs="Times New Roman"/>
        </w:rPr>
        <w:t xml:space="preserve"> ¼ spadku, gdy zmarły nie pozostawił więcej niż troje dzieci. W przeciwnym razie wraz z jego dziećmi dziedziczyła w częściach równych.</w:t>
      </w:r>
    </w:p>
    <w:p w:rsidR="006230C6" w:rsidRDefault="006230C6" w:rsidP="003A73DF">
      <w:pPr>
        <w:spacing w:line="360" w:lineRule="auto"/>
        <w:jc w:val="both"/>
        <w:rPr>
          <w:rFonts w:ascii="Times New Roman" w:hAnsi="Times New Roman" w:cs="Times New Roman"/>
        </w:rPr>
      </w:pPr>
      <w:r w:rsidRPr="006230C6">
        <w:rPr>
          <w:rFonts w:ascii="Times New Roman" w:hAnsi="Times New Roman" w:cs="Times New Roman"/>
        </w:rPr>
        <w:t>Mężczyzna nie miał prawa do kwarty po żonie.</w:t>
      </w:r>
    </w:p>
    <w:p w:rsidR="006230C6" w:rsidRDefault="006230C6" w:rsidP="003A73DF">
      <w:pPr>
        <w:spacing w:line="360" w:lineRule="auto"/>
        <w:rPr>
          <w:rFonts w:ascii="Times New Roman" w:hAnsi="Times New Roman" w:cs="Times New Roman"/>
        </w:rPr>
      </w:pPr>
    </w:p>
    <w:p w:rsidR="006230C6" w:rsidRDefault="006230C6" w:rsidP="003A73DF">
      <w:pPr>
        <w:spacing w:line="360" w:lineRule="auto"/>
        <w:rPr>
          <w:rFonts w:ascii="Times New Roman" w:hAnsi="Times New Roman" w:cs="Times New Roman"/>
        </w:rPr>
      </w:pPr>
      <w:r w:rsidRPr="00CC1EDB">
        <w:rPr>
          <w:rFonts w:ascii="Times New Roman" w:hAnsi="Times New Roman" w:cs="Times New Roman"/>
          <w:b/>
          <w:bCs/>
        </w:rPr>
        <w:t>Podsumowanie:</w:t>
      </w:r>
      <w:r w:rsidRPr="00CC1EDB">
        <w:rPr>
          <w:rFonts w:ascii="Times New Roman" w:hAnsi="Times New Roman" w:cs="Times New Roman"/>
        </w:rPr>
        <w:t xml:space="preserve"> </w:t>
      </w:r>
    </w:p>
    <w:p w:rsidR="006230C6" w:rsidRPr="0049762A" w:rsidRDefault="006230C6" w:rsidP="003A73D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9762A">
        <w:rPr>
          <w:rFonts w:ascii="Times New Roman" w:hAnsi="Times New Roman" w:cs="Times New Roman"/>
        </w:rPr>
        <w:lastRenderedPageBreak/>
        <w:t xml:space="preserve">Justynian przemodelował dziedziczenie beztestamentowe według kryterium </w:t>
      </w:r>
      <w:r w:rsidRPr="0049762A">
        <w:rPr>
          <w:rFonts w:ascii="Times New Roman" w:hAnsi="Times New Roman" w:cs="Times New Roman"/>
          <w:u w:val="single"/>
        </w:rPr>
        <w:t xml:space="preserve">więzów krwi </w:t>
      </w:r>
      <w:r w:rsidRPr="0049762A">
        <w:rPr>
          <w:rFonts w:ascii="Times New Roman" w:hAnsi="Times New Roman" w:cs="Times New Roman"/>
        </w:rPr>
        <w:t xml:space="preserve">wraz z </w:t>
      </w:r>
      <w:r w:rsidRPr="0049762A">
        <w:rPr>
          <w:rFonts w:ascii="Times New Roman" w:hAnsi="Times New Roman" w:cs="Times New Roman"/>
          <w:u w:val="single"/>
        </w:rPr>
        <w:t>systemem klas</w:t>
      </w:r>
      <w:r w:rsidRPr="0049762A">
        <w:rPr>
          <w:rFonts w:ascii="Times New Roman" w:hAnsi="Times New Roman" w:cs="Times New Roman"/>
        </w:rPr>
        <w:t xml:space="preserve"> dziedziczenia (taki model dziedziczenia beztestamentowego obowiązuje zasadniczo do dziś); </w:t>
      </w:r>
    </w:p>
    <w:p w:rsidR="006230C6" w:rsidRPr="0049762A" w:rsidRDefault="006230C6" w:rsidP="003A73D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9762A">
        <w:rPr>
          <w:rFonts w:ascii="Times New Roman" w:hAnsi="Times New Roman" w:cs="Times New Roman"/>
        </w:rPr>
        <w:t>Spadek pozostawał wśród krewnych (choć często więzy społeczne między spadkodawcą a dalszym krewnym-dziedzicem, np. siostrzeńcem mogły być nikłe);</w:t>
      </w:r>
    </w:p>
    <w:p w:rsidR="006230C6" w:rsidRPr="0049762A" w:rsidRDefault="0049762A" w:rsidP="003A73D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Wzmocnienie </w:t>
      </w:r>
      <w:r w:rsidR="006230C6" w:rsidRPr="0049762A">
        <w:rPr>
          <w:rFonts w:ascii="Times New Roman" w:hAnsi="Times New Roman" w:cs="Times New Roman"/>
        </w:rPr>
        <w:t xml:space="preserve">pozycji małżonka (kwarta ubogiej wdowy o funkcji alimentacyjnej) </w:t>
      </w:r>
    </w:p>
    <w:p w:rsidR="006230C6" w:rsidRDefault="006230C6" w:rsidP="003A73DF">
      <w:pPr>
        <w:spacing w:line="360" w:lineRule="auto"/>
        <w:rPr>
          <w:rFonts w:ascii="Times New Roman" w:hAnsi="Times New Roman" w:cs="Times New Roman"/>
        </w:rPr>
      </w:pPr>
    </w:p>
    <w:p w:rsidR="006230C6" w:rsidRDefault="006230C6" w:rsidP="003A73DF">
      <w:pPr>
        <w:spacing w:line="360" w:lineRule="auto"/>
        <w:rPr>
          <w:rFonts w:ascii="Times New Roman" w:hAnsi="Times New Roman" w:cs="Times New Roman"/>
        </w:rPr>
      </w:pPr>
    </w:p>
    <w:p w:rsidR="008660C1" w:rsidRPr="006230C6" w:rsidRDefault="008660C1" w:rsidP="003A73DF">
      <w:pPr>
        <w:spacing w:line="360" w:lineRule="auto"/>
        <w:rPr>
          <w:rFonts w:ascii="Times New Roman" w:hAnsi="Times New Roman" w:cs="Times New Roman"/>
        </w:rPr>
      </w:pPr>
    </w:p>
    <w:p w:rsidR="009A31CC" w:rsidRPr="006230C6" w:rsidRDefault="009A31CC" w:rsidP="0049762A">
      <w:pPr>
        <w:rPr>
          <w:rFonts w:ascii="Times New Roman" w:hAnsi="Times New Roman" w:cs="Times New Roman"/>
        </w:rPr>
      </w:pPr>
    </w:p>
    <w:sectPr w:rsidR="009A31CC" w:rsidRPr="006230C6" w:rsidSect="00DA123D">
      <w:pgSz w:w="11900" w:h="16840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pperplate Gothic Bold">
    <w:charset w:val="00"/>
    <w:family w:val="auto"/>
    <w:pitch w:val="variable"/>
    <w:sig w:usb0="00000003" w:usb1="00000000" w:usb2="00000000" w:usb3="00000000" w:csb0="00000001" w:csb1="00000000"/>
  </w:font>
  <w:font w:name="ＤＦＰ行書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F56"/>
    <w:multiLevelType w:val="hybridMultilevel"/>
    <w:tmpl w:val="D2AE00D4"/>
    <w:lvl w:ilvl="0" w:tplc="75002672">
      <w:numFmt w:val="bullet"/>
      <w:lvlText w:val=""/>
      <w:lvlJc w:val="left"/>
      <w:pPr>
        <w:ind w:left="993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199E"/>
    <w:multiLevelType w:val="hybridMultilevel"/>
    <w:tmpl w:val="370A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E51"/>
    <w:multiLevelType w:val="hybridMultilevel"/>
    <w:tmpl w:val="DF2AFC7E"/>
    <w:lvl w:ilvl="0" w:tplc="4C1E7E2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0715D"/>
    <w:multiLevelType w:val="hybridMultilevel"/>
    <w:tmpl w:val="60389822"/>
    <w:lvl w:ilvl="0" w:tplc="75002672">
      <w:numFmt w:val="bullet"/>
      <w:lvlText w:val=""/>
      <w:lvlJc w:val="left"/>
      <w:pPr>
        <w:ind w:left="993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>
    <w:nsid w:val="3AF03868"/>
    <w:multiLevelType w:val="hybridMultilevel"/>
    <w:tmpl w:val="5986CA8C"/>
    <w:lvl w:ilvl="0" w:tplc="75002672">
      <w:numFmt w:val="bullet"/>
      <w:lvlText w:val=""/>
      <w:lvlJc w:val="left"/>
      <w:pPr>
        <w:ind w:left="1698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1596AD9"/>
    <w:multiLevelType w:val="hybridMultilevel"/>
    <w:tmpl w:val="A9269B96"/>
    <w:lvl w:ilvl="0" w:tplc="4C1E7E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689373A"/>
    <w:multiLevelType w:val="hybridMultilevel"/>
    <w:tmpl w:val="370A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533AA"/>
    <w:rsid w:val="00047013"/>
    <w:rsid w:val="00096248"/>
    <w:rsid w:val="000A6749"/>
    <w:rsid w:val="0012369E"/>
    <w:rsid w:val="001A69E0"/>
    <w:rsid w:val="003A73DF"/>
    <w:rsid w:val="00414D89"/>
    <w:rsid w:val="00424A55"/>
    <w:rsid w:val="004910BE"/>
    <w:rsid w:val="0049762A"/>
    <w:rsid w:val="004B798D"/>
    <w:rsid w:val="00597759"/>
    <w:rsid w:val="006230C6"/>
    <w:rsid w:val="006605EB"/>
    <w:rsid w:val="006A4D66"/>
    <w:rsid w:val="00754FBE"/>
    <w:rsid w:val="008660C1"/>
    <w:rsid w:val="0092340B"/>
    <w:rsid w:val="009A31CC"/>
    <w:rsid w:val="00A12349"/>
    <w:rsid w:val="00BD37F5"/>
    <w:rsid w:val="00D97872"/>
    <w:rsid w:val="00DA123D"/>
    <w:rsid w:val="00DD377B"/>
    <w:rsid w:val="00E533AA"/>
    <w:rsid w:val="00EE3C5B"/>
    <w:rsid w:val="00F87B87"/>
    <w:rsid w:val="00FD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9E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3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1"/>
    <w:link w:val="NagwekZnak"/>
    <w:uiPriority w:val="99"/>
    <w:unhideWhenUsed/>
    <w:rsid w:val="0012369E"/>
    <w:pPr>
      <w:spacing w:line="276" w:lineRule="auto"/>
    </w:pPr>
    <w:rPr>
      <w:rFonts w:ascii="Copperplate Gothic Bold" w:eastAsia="ＤＦＰ行書体" w:hAnsi="Copperplate Gothic Bold" w:cs="Times New Roman"/>
      <w:color w:val="auto"/>
      <w:sz w:val="30"/>
      <w:szCs w:val="28"/>
    </w:rPr>
  </w:style>
  <w:style w:type="character" w:customStyle="1" w:styleId="NagwekZnak">
    <w:name w:val="Nagłówek Znak"/>
    <w:link w:val="Nagwek"/>
    <w:uiPriority w:val="99"/>
    <w:rsid w:val="0012369E"/>
    <w:rPr>
      <w:rFonts w:ascii="Copperplate Gothic Bold" w:eastAsia="ＤＦＰ行書体" w:hAnsi="Copperplate Gothic Bold" w:cs="Times New Roman"/>
      <w:b/>
      <w:bCs/>
      <w:sz w:val="30"/>
      <w:szCs w:val="2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36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kapitzlist">
    <w:name w:val="List Paragraph"/>
    <w:basedOn w:val="Normalny"/>
    <w:uiPriority w:val="34"/>
    <w:qFormat/>
    <w:rsid w:val="00D97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3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1"/>
    <w:link w:val="NagwekZnak"/>
    <w:uiPriority w:val="99"/>
    <w:unhideWhenUsed/>
    <w:rsid w:val="0012369E"/>
    <w:pPr>
      <w:spacing w:line="276" w:lineRule="auto"/>
    </w:pPr>
    <w:rPr>
      <w:rFonts w:ascii="Copperplate Gothic Bold" w:eastAsia="ＤＦＰ行書体" w:hAnsi="Copperplate Gothic Bold" w:cs="Times New Roman"/>
      <w:color w:val="auto"/>
      <w:sz w:val="30"/>
      <w:szCs w:val="28"/>
    </w:rPr>
  </w:style>
  <w:style w:type="character" w:customStyle="1" w:styleId="NagwekZnak">
    <w:name w:val="Nagłówek Znak"/>
    <w:link w:val="Nagwek"/>
    <w:uiPriority w:val="99"/>
    <w:rsid w:val="0012369E"/>
    <w:rPr>
      <w:rFonts w:ascii="Copperplate Gothic Bold" w:eastAsia="ＤＦＰ行書体" w:hAnsi="Copperplate Gothic Bold" w:cs="Times New Roman"/>
      <w:b/>
      <w:bCs/>
      <w:sz w:val="30"/>
      <w:szCs w:val="2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36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kapitzlist">
    <w:name w:val="List Paragraph"/>
    <w:basedOn w:val="Normalny"/>
    <w:uiPriority w:val="34"/>
    <w:qFormat/>
    <w:rsid w:val="00D97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</cp:revision>
  <dcterms:created xsi:type="dcterms:W3CDTF">2020-04-28T11:20:00Z</dcterms:created>
  <dcterms:modified xsi:type="dcterms:W3CDTF">2020-04-28T11:20:00Z</dcterms:modified>
</cp:coreProperties>
</file>